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61" w:rsidRPr="00DF43A1" w:rsidRDefault="00083C61" w:rsidP="00DF43A1">
      <w:pPr>
        <w:spacing w:after="0" w:line="240" w:lineRule="auto"/>
        <w:jc w:val="both"/>
        <w:rPr>
          <w:sz w:val="24"/>
          <w:szCs w:val="24"/>
        </w:rPr>
      </w:pPr>
      <w:r w:rsidRPr="00DF43A1">
        <w:rPr>
          <w:sz w:val="24"/>
          <w:szCs w:val="24"/>
        </w:rPr>
        <w:t>Universidad Nacional de Mar del Plata</w:t>
      </w:r>
      <w:r w:rsidR="00DF43A1" w:rsidRPr="00DF43A1">
        <w:rPr>
          <w:sz w:val="24"/>
          <w:szCs w:val="24"/>
        </w:rPr>
        <w:t xml:space="preserve"> - </w:t>
      </w:r>
      <w:r w:rsidRPr="00DF43A1">
        <w:rPr>
          <w:sz w:val="24"/>
          <w:szCs w:val="24"/>
        </w:rPr>
        <w:t>Facultad de Derecho</w:t>
      </w:r>
    </w:p>
    <w:p w:rsidR="00083C61" w:rsidRPr="00DF43A1" w:rsidRDefault="00083C61" w:rsidP="00DF43A1">
      <w:pPr>
        <w:spacing w:after="0" w:line="240" w:lineRule="auto"/>
        <w:jc w:val="both"/>
        <w:rPr>
          <w:sz w:val="24"/>
          <w:szCs w:val="24"/>
        </w:rPr>
      </w:pPr>
      <w:r w:rsidRPr="00DF43A1">
        <w:rPr>
          <w:sz w:val="24"/>
          <w:szCs w:val="24"/>
        </w:rPr>
        <w:t>Asignatura</w:t>
      </w:r>
      <w:r w:rsidR="00DF43A1" w:rsidRPr="00DF43A1">
        <w:rPr>
          <w:sz w:val="24"/>
          <w:szCs w:val="24"/>
        </w:rPr>
        <w:t>:</w:t>
      </w:r>
      <w:r w:rsidRPr="00DF43A1">
        <w:rPr>
          <w:sz w:val="24"/>
          <w:szCs w:val="24"/>
        </w:rPr>
        <w:t xml:space="preserve"> Derechos Humanos y Garantías Constitucionales</w:t>
      </w:r>
    </w:p>
    <w:p w:rsidR="00083C61" w:rsidRPr="00DF43A1" w:rsidRDefault="00DF43A1" w:rsidP="00DF43A1">
      <w:pPr>
        <w:spacing w:after="0" w:line="240" w:lineRule="auto"/>
        <w:jc w:val="both"/>
        <w:rPr>
          <w:sz w:val="24"/>
          <w:szCs w:val="24"/>
        </w:rPr>
      </w:pPr>
      <w:r w:rsidRPr="00DF43A1">
        <w:rPr>
          <w:sz w:val="24"/>
          <w:szCs w:val="24"/>
        </w:rPr>
        <w:t>Comisión</w:t>
      </w:r>
      <w:r w:rsidR="00083C61" w:rsidRPr="00DF43A1">
        <w:rPr>
          <w:sz w:val="24"/>
          <w:szCs w:val="24"/>
        </w:rPr>
        <w:t xml:space="preserve"> 5</w:t>
      </w:r>
    </w:p>
    <w:p w:rsidR="00083C61" w:rsidRPr="00DF43A1" w:rsidRDefault="00083C61" w:rsidP="00DF43A1">
      <w:pPr>
        <w:spacing w:after="0" w:line="240" w:lineRule="auto"/>
        <w:jc w:val="both"/>
        <w:rPr>
          <w:sz w:val="24"/>
          <w:szCs w:val="24"/>
        </w:rPr>
      </w:pPr>
      <w:r w:rsidRPr="00DF43A1">
        <w:rPr>
          <w:sz w:val="24"/>
          <w:szCs w:val="24"/>
        </w:rPr>
        <w:t>Segundo cuatrimestre 2017</w:t>
      </w:r>
    </w:p>
    <w:p w:rsidR="00083C61" w:rsidRPr="00DF43A1" w:rsidRDefault="00083C61" w:rsidP="00B55301">
      <w:pPr>
        <w:jc w:val="both"/>
        <w:rPr>
          <w:sz w:val="24"/>
          <w:szCs w:val="24"/>
        </w:rPr>
      </w:pPr>
    </w:p>
    <w:p w:rsidR="00083C61" w:rsidRDefault="00083C61" w:rsidP="00E14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LECTURA</w:t>
      </w:r>
      <w:r w:rsidR="00DF43A1">
        <w:rPr>
          <w:rStyle w:val="Refdenotaalpie"/>
          <w:b/>
          <w:sz w:val="24"/>
          <w:szCs w:val="24"/>
        </w:rPr>
        <w:footnoteReference w:id="2"/>
      </w:r>
    </w:p>
    <w:p w:rsidR="00E1433B" w:rsidRDefault="00083C61" w:rsidP="00E14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ARTICULO “VERDAD, JUSTICIA Y DERECHOS FUNDAMENTALES”</w:t>
      </w:r>
    </w:p>
    <w:p w:rsidR="00083C61" w:rsidRDefault="00083C61" w:rsidP="00E1433B">
      <w:pPr>
        <w:jc w:val="center"/>
        <w:rPr>
          <w:sz w:val="24"/>
          <w:szCs w:val="24"/>
        </w:rPr>
      </w:pPr>
      <w:r w:rsidRPr="00DF43A1">
        <w:rPr>
          <w:sz w:val="24"/>
          <w:szCs w:val="24"/>
        </w:rPr>
        <w:t xml:space="preserve">de Eduardo Pablo </w:t>
      </w:r>
      <w:r w:rsidR="00DF43A1" w:rsidRPr="00DF43A1">
        <w:rPr>
          <w:sz w:val="24"/>
          <w:szCs w:val="24"/>
        </w:rPr>
        <w:t>Jiménez</w:t>
      </w:r>
      <w:r w:rsidRPr="00DF43A1">
        <w:rPr>
          <w:sz w:val="24"/>
          <w:szCs w:val="24"/>
        </w:rPr>
        <w:t>, Revista de Derecho Público, Año I, N° 2, Editorial Infojus, 2015.</w:t>
      </w:r>
    </w:p>
    <w:p w:rsidR="0039252A" w:rsidRPr="0039252A" w:rsidRDefault="0039252A" w:rsidP="0039252A">
      <w:pPr>
        <w:rPr>
          <w:b/>
          <w:sz w:val="24"/>
          <w:szCs w:val="24"/>
        </w:rPr>
      </w:pPr>
      <w:r w:rsidRPr="0039252A">
        <w:rPr>
          <w:b/>
          <w:sz w:val="24"/>
          <w:szCs w:val="24"/>
        </w:rPr>
        <w:t>Consignas:</w:t>
      </w:r>
    </w:p>
    <w:p w:rsidR="00083C61" w:rsidRDefault="00083C61" w:rsidP="003925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partir de la atenta lectura del artículo, le proponemos que vayan respondiendo las siguientes preguntas, que hacen a las ideas principales contenidas en el mismo.</w:t>
      </w:r>
    </w:p>
    <w:p w:rsidR="00083C61" w:rsidRPr="00083C61" w:rsidRDefault="00083C61" w:rsidP="003925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Para facilitar la tarea, las preguntas se harán siguiendo las secciones o apartados del propio artículo.</w:t>
      </w:r>
    </w:p>
    <w:p w:rsidR="00083C61" w:rsidRPr="00446CD3" w:rsidRDefault="00083C61" w:rsidP="00B55301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Apartado I: La cuestión de los Derechos Fundamentales</w:t>
      </w:r>
    </w:p>
    <w:p w:rsidR="00083C61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¿Cuál es la definición de derechos fundamentales que hace el autor?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¿Por qué es importante el Derecho Procesal Constitucional? (Se sugiere buscar una definición de esta rama del derecho, preferiblemente en Jimenez, Eduardo </w:t>
      </w:r>
      <w:r w:rsidRPr="00E1433B">
        <w:rPr>
          <w:i/>
          <w:sz w:val="24"/>
          <w:szCs w:val="24"/>
        </w:rPr>
        <w:t>Derecho Constitucional Argentino,</w:t>
      </w:r>
      <w:r>
        <w:rPr>
          <w:sz w:val="24"/>
          <w:szCs w:val="24"/>
        </w:rPr>
        <w:t xml:space="preserve"> Tomo II, p.</w:t>
      </w:r>
      <w:r w:rsidR="00361507">
        <w:rPr>
          <w:sz w:val="24"/>
          <w:szCs w:val="24"/>
        </w:rPr>
        <w:t xml:space="preserve"> 536/537</w:t>
      </w:r>
      <w:r>
        <w:rPr>
          <w:sz w:val="24"/>
          <w:szCs w:val="24"/>
        </w:rPr>
        <w:t>)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relación existe entre la ética y los derechos humanos?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papel o rol juegan los tratados internacionales de derechos humanos en relación al constitucionalismo material?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es la regla o principio “pro homine” (se sugiere buscar una definición, preferentemente en Wlasic, Juan Carlos, </w:t>
      </w:r>
      <w:r w:rsidRPr="00462EFA">
        <w:rPr>
          <w:i/>
          <w:sz w:val="24"/>
          <w:szCs w:val="24"/>
        </w:rPr>
        <w:t>Manual Crítico de Derechos Humanos</w:t>
      </w:r>
      <w:r>
        <w:rPr>
          <w:sz w:val="24"/>
          <w:szCs w:val="24"/>
        </w:rPr>
        <w:t>, p.</w:t>
      </w:r>
      <w:r w:rsidR="00462EFA">
        <w:rPr>
          <w:sz w:val="24"/>
          <w:szCs w:val="24"/>
        </w:rPr>
        <w:t xml:space="preserve"> 55</w:t>
      </w:r>
      <w:r>
        <w:rPr>
          <w:sz w:val="24"/>
          <w:szCs w:val="24"/>
        </w:rPr>
        <w:t>)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obligación asume el Estado argentino frente a la comunidad internacional, y a partir de cuándo principalmente?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¿En este contexto, quién asume un rol como nuevo sujeto de derecho internacional?</w:t>
      </w:r>
    </w:p>
    <w:p w:rsidR="00E1433B" w:rsidRPr="00446CD3" w:rsidRDefault="00E1433B" w:rsidP="00E1433B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Apartado II: Acerca de los delitos de lesa humanidad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problema</w:t>
      </w:r>
      <w:r w:rsidR="00462EFA">
        <w:rPr>
          <w:sz w:val="24"/>
          <w:szCs w:val="24"/>
        </w:rPr>
        <w:t>s</w:t>
      </w:r>
      <w:r>
        <w:rPr>
          <w:sz w:val="24"/>
          <w:szCs w:val="24"/>
        </w:rPr>
        <w:t xml:space="preserve"> presentan los juicios por delitos de lesa humanidad?</w:t>
      </w:r>
    </w:p>
    <w:p w:rsidR="00E1433B" w:rsidRDefault="00E1433B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es la relación entre el Derecho Internacional y el derecho inte</w:t>
      </w:r>
      <w:r w:rsidR="00511D57">
        <w:rPr>
          <w:sz w:val="24"/>
          <w:szCs w:val="24"/>
        </w:rPr>
        <w:t xml:space="preserve">rno </w:t>
      </w:r>
      <w:r>
        <w:rPr>
          <w:sz w:val="24"/>
          <w:szCs w:val="24"/>
        </w:rPr>
        <w:t>de los Estados? ¿Y qué especifi</w:t>
      </w:r>
      <w:r w:rsidR="00511D57">
        <w:rPr>
          <w:sz w:val="24"/>
          <w:szCs w:val="24"/>
        </w:rPr>
        <w:t>cid</w:t>
      </w:r>
      <w:r>
        <w:rPr>
          <w:sz w:val="24"/>
          <w:szCs w:val="24"/>
        </w:rPr>
        <w:t>a</w:t>
      </w:r>
      <w:r w:rsidR="00511D57">
        <w:rPr>
          <w:sz w:val="24"/>
          <w:szCs w:val="24"/>
        </w:rPr>
        <w:t>d</w:t>
      </w:r>
      <w:r>
        <w:rPr>
          <w:sz w:val="24"/>
          <w:szCs w:val="24"/>
        </w:rPr>
        <w:t xml:space="preserve"> presenta en el marco del Derecho Internacional de los Derechos Humanos?</w:t>
      </w:r>
    </w:p>
    <w:p w:rsidR="00511D57" w:rsidRDefault="00511D57" w:rsidP="00E1433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¿Cuál es el problema que se presenta en torno a los delitos de derecho internacional?</w:t>
      </w:r>
    </w:p>
    <w:p w:rsidR="00511D57" w:rsidRPr="00446CD3" w:rsidRDefault="00511D57" w:rsidP="00511D57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Apartado II, Premisa 1: El derecho de gentes y el derecho interno argentino</w:t>
      </w:r>
    </w:p>
    <w:p w:rsidR="00511D57" w:rsidRDefault="00511D57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es el derecho de gentes?</w:t>
      </w:r>
    </w:p>
    <w:p w:rsidR="00511D57" w:rsidRDefault="00511D57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se incorpora en nuestro sistema constitucional?</w:t>
      </w:r>
    </w:p>
    <w:p w:rsidR="00511D57" w:rsidRDefault="00511D57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normas de derecho internacional son vinculantes para los Estados, independientemente de los tratados que los mismos suscriban?</w:t>
      </w:r>
    </w:p>
    <w:p w:rsidR="00511D57" w:rsidRDefault="00511D57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¿Cómo se relaciona el </w:t>
      </w:r>
      <w:r w:rsidRPr="00462EFA">
        <w:rPr>
          <w:i/>
          <w:sz w:val="24"/>
          <w:szCs w:val="24"/>
        </w:rPr>
        <w:t>ius</w:t>
      </w:r>
      <w:r w:rsidR="00462EFA" w:rsidRPr="00462EFA">
        <w:rPr>
          <w:i/>
          <w:sz w:val="24"/>
          <w:szCs w:val="24"/>
        </w:rPr>
        <w:t xml:space="preserve"> </w:t>
      </w:r>
      <w:r w:rsidRPr="00462EFA">
        <w:rPr>
          <w:i/>
          <w:sz w:val="24"/>
          <w:szCs w:val="24"/>
        </w:rPr>
        <w:t>cogens</w:t>
      </w:r>
      <w:r>
        <w:rPr>
          <w:sz w:val="24"/>
          <w:szCs w:val="24"/>
        </w:rPr>
        <w:t xml:space="preserve"> (derecho de gentes) con la Constitución?</w:t>
      </w:r>
    </w:p>
    <w:p w:rsidR="00511D57" w:rsidRDefault="00511D57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juega el principio de irretroactividad de la ley penal en relación al Derecho Internacional de los Derechos Humanos? (si es necesario, busque un</w:t>
      </w:r>
      <w:r w:rsidR="00462EFA">
        <w:rPr>
          <w:sz w:val="24"/>
          <w:szCs w:val="24"/>
        </w:rPr>
        <w:t xml:space="preserve"> concepto del principio de </w:t>
      </w:r>
      <w:r>
        <w:rPr>
          <w:sz w:val="24"/>
          <w:szCs w:val="24"/>
        </w:rPr>
        <w:t>de irretroactividad de la ley penal)</w:t>
      </w:r>
    </w:p>
    <w:p w:rsidR="00511D57" w:rsidRPr="00446CD3" w:rsidRDefault="00511D57" w:rsidP="00511D57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Apartado II, premisa 2: Particularidades de los delitos de guerra y de lesa humanidad</w:t>
      </w:r>
    </w:p>
    <w:p w:rsidR="00511D57" w:rsidRDefault="00511D57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¿En qué consiste el delito de guerra? ¿Por qué esa categoría es insuficiente en el Derecho Internacional de los Derechos Humanos? ¿Qué categoría surge</w:t>
      </w:r>
      <w:r w:rsidR="000F18DC">
        <w:rPr>
          <w:sz w:val="24"/>
          <w:szCs w:val="24"/>
        </w:rPr>
        <w:t xml:space="preserve"> para superar el problema?</w:t>
      </w:r>
    </w:p>
    <w:p w:rsidR="00FE74C9" w:rsidRDefault="00FE74C9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es un crimen contra la humanidad o de lesa humanidad?</w:t>
      </w:r>
    </w:p>
    <w:p w:rsidR="00FE74C9" w:rsidRDefault="00FE74C9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es genocidio? (si es necesario, busque cuando surgió dicho delito y mediante qué instrumento o norma</w:t>
      </w:r>
      <w:r w:rsidR="00462EFA">
        <w:rPr>
          <w:sz w:val="24"/>
          <w:szCs w:val="24"/>
        </w:rPr>
        <w:t xml:space="preserve">, Wlasic, </w:t>
      </w:r>
      <w:r w:rsidR="00462EFA" w:rsidRPr="00462EFA">
        <w:rPr>
          <w:i/>
          <w:sz w:val="24"/>
          <w:szCs w:val="24"/>
        </w:rPr>
        <w:t>ob. cit</w:t>
      </w:r>
      <w:r w:rsidR="00462EFA">
        <w:rPr>
          <w:sz w:val="24"/>
          <w:szCs w:val="24"/>
        </w:rPr>
        <w:t>. p. 62</w:t>
      </w:r>
      <w:r>
        <w:rPr>
          <w:sz w:val="24"/>
          <w:szCs w:val="24"/>
        </w:rPr>
        <w:t>)</w:t>
      </w:r>
    </w:p>
    <w:p w:rsidR="00FE74C9" w:rsidRDefault="00FE74C9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problemas presentan estas nuevas categorías de delitos y cómo se pueden resolver esos problemas?</w:t>
      </w:r>
    </w:p>
    <w:p w:rsidR="00FE74C9" w:rsidRDefault="00FE74C9" w:rsidP="00511D57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relación existe entre los crímenes contra la humanidad y el “bien común internacional”?</w:t>
      </w:r>
    </w:p>
    <w:p w:rsidR="00FE74C9" w:rsidRPr="00446CD3" w:rsidRDefault="00FE74C9" w:rsidP="00FE74C9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Apartado II, premisa 3: Competencia en el juzgamiento de delitos de derecho internacional</w:t>
      </w:r>
    </w:p>
    <w:p w:rsidR="00FE74C9" w:rsidRDefault="00FE74C9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agentes de los Estados gozan de protección en el ámbito del derecho internacional ¿esta regla presenta </w:t>
      </w:r>
      <w:r w:rsidRPr="00FE74C9">
        <w:rPr>
          <w:sz w:val="24"/>
          <w:szCs w:val="24"/>
        </w:rPr>
        <w:t>alguna excepción?</w:t>
      </w:r>
    </w:p>
    <w:p w:rsidR="00FE74C9" w:rsidRDefault="00FE74C9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es la competencia universal para el juzgamiento de los delitos de lesa humanidad, y que dificultad presenta?</w:t>
      </w:r>
    </w:p>
    <w:p w:rsidR="00FE74C9" w:rsidRPr="00446CD3" w:rsidRDefault="00FE74C9" w:rsidP="00FE74C9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Apartado III: El caso argentino</w:t>
      </w:r>
    </w:p>
    <w:p w:rsidR="00FE74C9" w:rsidRDefault="00FE74C9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 es la regla que establece el art. 118 de la </w:t>
      </w:r>
      <w:r w:rsidR="00876DBF">
        <w:rPr>
          <w:sz w:val="24"/>
          <w:szCs w:val="24"/>
        </w:rPr>
        <w:t>Constitución</w:t>
      </w:r>
      <w:r>
        <w:rPr>
          <w:sz w:val="24"/>
          <w:szCs w:val="24"/>
        </w:rPr>
        <w:t xml:space="preserve"> Nacional para el juzgamiento de delitos? ¿Cuál sería la excepción?</w:t>
      </w:r>
    </w:p>
    <w:p w:rsidR="00BA530C" w:rsidRDefault="00BA530C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fue la “ley de autoam</w:t>
      </w:r>
      <w:r w:rsidR="00446CD3">
        <w:rPr>
          <w:sz w:val="24"/>
          <w:szCs w:val="24"/>
        </w:rPr>
        <w:t>n</w:t>
      </w:r>
      <w:r>
        <w:rPr>
          <w:sz w:val="24"/>
          <w:szCs w:val="24"/>
        </w:rPr>
        <w:t>istía”?</w:t>
      </w:r>
    </w:p>
    <w:p w:rsidR="00BA530C" w:rsidRDefault="00BA530C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¿A qué leyes se las denomina, “leyes del perdón”? (se sugiere buscar dichas normas y leerlas)</w:t>
      </w:r>
    </w:p>
    <w:p w:rsidR="00BA530C" w:rsidRDefault="00BA530C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cuestiones jurídicas</w:t>
      </w:r>
      <w:r w:rsidR="00876DBF">
        <w:rPr>
          <w:sz w:val="24"/>
          <w:szCs w:val="24"/>
        </w:rPr>
        <w:t xml:space="preserve"> muy</w:t>
      </w:r>
      <w:r>
        <w:rPr>
          <w:sz w:val="24"/>
          <w:szCs w:val="24"/>
        </w:rPr>
        <w:t xml:space="preserve"> discutibles presentaban?</w:t>
      </w:r>
    </w:p>
    <w:p w:rsidR="00BA530C" w:rsidRDefault="00BA530C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¿En qué fallo la Corte Suprema de Justicia de la Nación se pronunció sobre ellas, y que sostuvo?</w:t>
      </w:r>
    </w:p>
    <w:p w:rsidR="00BA530C" w:rsidRDefault="00BA530C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¿Qué es la “doctrina del efecto útil”, y cuál es su origen? (se sugiere buscar la definición de “control de convencionalidad” y un resumen de la sentencia de la Corte Interamericana de Justicia mencionada en este apartado)</w:t>
      </w:r>
    </w:p>
    <w:p w:rsidR="00BA530C" w:rsidRDefault="00BA530C" w:rsidP="00FE74C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se debe interpretar la regla del art. 118 de la Constitución Nacional? (se sugiere que se busque algún caso en que se haya aplicado justicia universal</w:t>
      </w:r>
      <w:r w:rsidR="00876DBF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violaciones de derechos humanos cometidas en Argentina durante el período 1976-1983, y </w:t>
      </w:r>
      <w:r w:rsidR="00876DBF">
        <w:rPr>
          <w:sz w:val="24"/>
          <w:szCs w:val="24"/>
        </w:rPr>
        <w:t>casos en que</w:t>
      </w:r>
      <w:r>
        <w:rPr>
          <w:sz w:val="24"/>
          <w:szCs w:val="24"/>
        </w:rPr>
        <w:t xml:space="preserve"> la justicia argentina ha intervenido en </w:t>
      </w:r>
      <w:r w:rsidR="00876DBF">
        <w:rPr>
          <w:sz w:val="24"/>
          <w:szCs w:val="24"/>
        </w:rPr>
        <w:t xml:space="preserve">violaciones de </w:t>
      </w:r>
      <w:r>
        <w:rPr>
          <w:sz w:val="24"/>
          <w:szCs w:val="24"/>
        </w:rPr>
        <w:t>derechos humanos en otro país)</w:t>
      </w:r>
    </w:p>
    <w:p w:rsidR="00BA530C" w:rsidRPr="00446CD3" w:rsidRDefault="00BA530C" w:rsidP="00BA530C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Apartado IV: El aporte de la jurisprudencia</w:t>
      </w:r>
    </w:p>
    <w:p w:rsidR="00BA530C" w:rsidRDefault="00BA530C" w:rsidP="00BA53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¿Por qué  es importante el fallo “Arancibia Clavel? ¿Qué cuestión trató? ¿Qué norma aplicó para resolver como lo hizo?</w:t>
      </w:r>
    </w:p>
    <w:p w:rsidR="00BA530C" w:rsidRDefault="00BA530C" w:rsidP="00BA53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cuestiones trata el fallo “Simón”? ¿Qué decidió allí la C.S.J.N?</w:t>
      </w:r>
    </w:p>
    <w:p w:rsidR="00E2384F" w:rsidRDefault="00BA530C" w:rsidP="00BA530C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bien no está mencionado en el texto, sería importante que busquen el fallo “Mazzeo”</w:t>
      </w:r>
      <w:r w:rsidR="00E2384F">
        <w:rPr>
          <w:sz w:val="24"/>
          <w:szCs w:val="24"/>
        </w:rPr>
        <w:t xml:space="preserve"> (13/07/2007)</w:t>
      </w:r>
      <w:r w:rsidR="00876DBF">
        <w:rPr>
          <w:sz w:val="24"/>
          <w:szCs w:val="24"/>
        </w:rPr>
        <w:t>, e identifiquen por qué este pronunciamiento completa el aporte jurisprudencial en este tema</w:t>
      </w:r>
      <w:r w:rsidR="00E2384F">
        <w:rPr>
          <w:sz w:val="24"/>
          <w:szCs w:val="24"/>
        </w:rPr>
        <w:t>.</w:t>
      </w:r>
    </w:p>
    <w:p w:rsidR="00E2384F" w:rsidRPr="00446CD3" w:rsidRDefault="00DF43A1" w:rsidP="00E2384F">
      <w:pPr>
        <w:jc w:val="both"/>
        <w:rPr>
          <w:b/>
          <w:sz w:val="24"/>
          <w:szCs w:val="24"/>
        </w:rPr>
      </w:pPr>
      <w:r w:rsidRPr="00446CD3">
        <w:rPr>
          <w:b/>
          <w:sz w:val="24"/>
          <w:szCs w:val="24"/>
        </w:rPr>
        <w:t>Conclusión</w:t>
      </w:r>
    </w:p>
    <w:p w:rsidR="00E2384F" w:rsidRDefault="00E2384F" w:rsidP="00E238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aspectos permiten sostener a la Corte Suprema del año 2005, un cambio de criterio en la jurisprudencia sobre estos temas, en relación a las anteriores integraciones de la Corte?</w:t>
      </w:r>
    </w:p>
    <w:p w:rsidR="00FE74C9" w:rsidRPr="00E2384F" w:rsidRDefault="00E2384F" w:rsidP="00E238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¿En qué consiste el “salto paradigmático” propiciado por la C.S.J.N en estos fallos?</w:t>
      </w:r>
    </w:p>
    <w:p w:rsidR="00511D57" w:rsidRDefault="00511D57" w:rsidP="00511D57">
      <w:pPr>
        <w:jc w:val="both"/>
        <w:rPr>
          <w:sz w:val="24"/>
          <w:szCs w:val="24"/>
        </w:rPr>
      </w:pPr>
      <w:bookmarkStart w:id="0" w:name="_GoBack"/>
      <w:bookmarkEnd w:id="0"/>
    </w:p>
    <w:p w:rsidR="00511D57" w:rsidRPr="00511D57" w:rsidRDefault="00511D57" w:rsidP="00511D57">
      <w:pPr>
        <w:jc w:val="both"/>
        <w:rPr>
          <w:sz w:val="24"/>
          <w:szCs w:val="24"/>
        </w:rPr>
      </w:pPr>
    </w:p>
    <w:p w:rsidR="00E1433B" w:rsidRDefault="00E1433B" w:rsidP="00E1433B">
      <w:pPr>
        <w:jc w:val="both"/>
        <w:rPr>
          <w:sz w:val="24"/>
          <w:szCs w:val="24"/>
        </w:rPr>
      </w:pPr>
    </w:p>
    <w:p w:rsidR="00E1433B" w:rsidRDefault="00E1433B" w:rsidP="00E1433B">
      <w:pPr>
        <w:jc w:val="both"/>
        <w:rPr>
          <w:sz w:val="24"/>
          <w:szCs w:val="24"/>
        </w:rPr>
      </w:pPr>
    </w:p>
    <w:p w:rsidR="00E1433B" w:rsidRDefault="00E1433B" w:rsidP="00E1433B">
      <w:pPr>
        <w:jc w:val="both"/>
        <w:rPr>
          <w:sz w:val="24"/>
          <w:szCs w:val="24"/>
        </w:rPr>
      </w:pPr>
    </w:p>
    <w:p w:rsidR="00E1433B" w:rsidRDefault="00E1433B" w:rsidP="00E1433B">
      <w:pPr>
        <w:jc w:val="both"/>
        <w:rPr>
          <w:sz w:val="24"/>
          <w:szCs w:val="24"/>
        </w:rPr>
      </w:pPr>
    </w:p>
    <w:p w:rsidR="00E1433B" w:rsidRPr="00E1433B" w:rsidRDefault="00E1433B" w:rsidP="00E1433B">
      <w:pPr>
        <w:jc w:val="both"/>
        <w:rPr>
          <w:sz w:val="24"/>
          <w:szCs w:val="24"/>
        </w:rPr>
      </w:pPr>
    </w:p>
    <w:p w:rsidR="00083C61" w:rsidRDefault="00083C61" w:rsidP="00B55301">
      <w:pPr>
        <w:jc w:val="both"/>
        <w:rPr>
          <w:b/>
          <w:sz w:val="24"/>
          <w:szCs w:val="24"/>
        </w:rPr>
      </w:pPr>
    </w:p>
    <w:p w:rsidR="00083C61" w:rsidRDefault="00083C61" w:rsidP="00B55301">
      <w:pPr>
        <w:jc w:val="both"/>
        <w:rPr>
          <w:b/>
          <w:sz w:val="24"/>
          <w:szCs w:val="24"/>
        </w:rPr>
      </w:pPr>
    </w:p>
    <w:p w:rsidR="00083C61" w:rsidRDefault="00083C61" w:rsidP="00B55301">
      <w:pPr>
        <w:jc w:val="both"/>
        <w:rPr>
          <w:b/>
          <w:sz w:val="24"/>
          <w:szCs w:val="24"/>
        </w:rPr>
      </w:pPr>
    </w:p>
    <w:sectPr w:rsidR="00083C61" w:rsidSect="001E4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EE" w:rsidRDefault="00DA3BEE" w:rsidP="00DF43A1">
      <w:pPr>
        <w:spacing w:after="0" w:line="240" w:lineRule="auto"/>
      </w:pPr>
      <w:r>
        <w:separator/>
      </w:r>
    </w:p>
  </w:endnote>
  <w:endnote w:type="continuationSeparator" w:id="1">
    <w:p w:rsidR="00DA3BEE" w:rsidRDefault="00DA3BEE" w:rsidP="00DF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EE" w:rsidRDefault="00DA3BEE" w:rsidP="00DF43A1">
      <w:pPr>
        <w:spacing w:after="0" w:line="240" w:lineRule="auto"/>
      </w:pPr>
      <w:r>
        <w:separator/>
      </w:r>
    </w:p>
  </w:footnote>
  <w:footnote w:type="continuationSeparator" w:id="1">
    <w:p w:rsidR="00DA3BEE" w:rsidRDefault="00DA3BEE" w:rsidP="00DF43A1">
      <w:pPr>
        <w:spacing w:after="0" w:line="240" w:lineRule="auto"/>
      </w:pPr>
      <w:r>
        <w:continuationSeparator/>
      </w:r>
    </w:p>
  </w:footnote>
  <w:footnote w:id="2">
    <w:p w:rsidR="00DF43A1" w:rsidRDefault="00DF43A1">
      <w:pPr>
        <w:pStyle w:val="Textonotapie"/>
      </w:pPr>
      <w:r>
        <w:rPr>
          <w:rStyle w:val="Refdenotaalpie"/>
        </w:rPr>
        <w:footnoteRef/>
      </w:r>
      <w:r>
        <w:t xml:space="preserve"> Esta guía de lectura fue preparada por Leonardo Palacios, ayudante de primera regular en la comisión 5 de Derechos Humanos y Garantías Constitucionales.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442E"/>
    <w:multiLevelType w:val="hybridMultilevel"/>
    <w:tmpl w:val="9BE424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EB3"/>
    <w:rsid w:val="00054674"/>
    <w:rsid w:val="000571D3"/>
    <w:rsid w:val="00081686"/>
    <w:rsid w:val="00083C61"/>
    <w:rsid w:val="0008445C"/>
    <w:rsid w:val="000B36F3"/>
    <w:rsid w:val="000D6FCE"/>
    <w:rsid w:val="000F18DC"/>
    <w:rsid w:val="001C6EB3"/>
    <w:rsid w:val="001E467A"/>
    <w:rsid w:val="003316C2"/>
    <w:rsid w:val="00361507"/>
    <w:rsid w:val="0039252A"/>
    <w:rsid w:val="00401420"/>
    <w:rsid w:val="00446CD3"/>
    <w:rsid w:val="00462EFA"/>
    <w:rsid w:val="004A78DF"/>
    <w:rsid w:val="00511D57"/>
    <w:rsid w:val="0055304D"/>
    <w:rsid w:val="00620246"/>
    <w:rsid w:val="00876DBF"/>
    <w:rsid w:val="009829AC"/>
    <w:rsid w:val="00A46D04"/>
    <w:rsid w:val="00AE3717"/>
    <w:rsid w:val="00B26E03"/>
    <w:rsid w:val="00B55301"/>
    <w:rsid w:val="00BA530C"/>
    <w:rsid w:val="00CD439A"/>
    <w:rsid w:val="00D33D92"/>
    <w:rsid w:val="00D42BD5"/>
    <w:rsid w:val="00DA3BEE"/>
    <w:rsid w:val="00DF43A1"/>
    <w:rsid w:val="00E1433B"/>
    <w:rsid w:val="00E2384F"/>
    <w:rsid w:val="00E60FED"/>
    <w:rsid w:val="00E94B48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43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43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43A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F43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43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43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43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2D1B-CF3F-4ACA-B8D6-67AD3BB7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Palacios</dc:creator>
  <cp:keywords/>
  <dc:description/>
  <cp:lastModifiedBy>Usuario</cp:lastModifiedBy>
  <cp:revision>9</cp:revision>
  <cp:lastPrinted>2017-08-24T03:06:00Z</cp:lastPrinted>
  <dcterms:created xsi:type="dcterms:W3CDTF">2017-09-03T17:16:00Z</dcterms:created>
  <dcterms:modified xsi:type="dcterms:W3CDTF">2017-09-04T00:54:00Z</dcterms:modified>
</cp:coreProperties>
</file>